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B7A02BF" w:rsidR="00542607" w:rsidRDefault="003D0645" w:rsidP="003D0645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Złagodzenie warunków oceny zdolności kredytowej przez KNF – co to oznacza dla przyszłych i obecnych kredytobiorców? </w:t>
      </w:r>
    </w:p>
    <w:p w14:paraId="00000005" w14:textId="71044FB3" w:rsidR="00542607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kwietniu 2022</w:t>
      </w:r>
      <w:r w:rsidR="002C7E49">
        <w:rPr>
          <w:rFonts w:ascii="Calibri" w:eastAsia="Calibri" w:hAnsi="Calibri" w:cs="Calibri"/>
        </w:rPr>
        <w:t xml:space="preserve"> r.</w:t>
      </w:r>
      <w:r>
        <w:rPr>
          <w:rFonts w:ascii="Calibri" w:eastAsia="Calibri" w:hAnsi="Calibri" w:cs="Calibri"/>
        </w:rPr>
        <w:t xml:space="preserve"> KNF narzucił na banki obowiązek stosowania dodatkowego buforu 5</w:t>
      </w:r>
      <w:r w:rsidR="002C7E49">
        <w:rPr>
          <w:rFonts w:ascii="Calibri" w:eastAsia="Calibri" w:hAnsi="Calibri" w:cs="Calibri"/>
        </w:rPr>
        <w:t xml:space="preserve"> </w:t>
      </w:r>
      <w:proofErr w:type="spellStart"/>
      <w:r w:rsidR="002C7E49">
        <w:rPr>
          <w:rFonts w:ascii="Calibri" w:eastAsia="Calibri" w:hAnsi="Calibri" w:cs="Calibri"/>
        </w:rPr>
        <w:t>p.p</w:t>
      </w:r>
      <w:proofErr w:type="spellEnd"/>
      <w:r w:rsidR="002C7E4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dodawanego przy liczeniu zdolności kredytowej. Należy zaznaczyć, że poprzednio ten bufor ustalony był na poziomie 2,5</w:t>
      </w:r>
      <w:r w:rsidR="002C7E49">
        <w:rPr>
          <w:rFonts w:ascii="Calibri" w:eastAsia="Calibri" w:hAnsi="Calibri" w:cs="Calibri"/>
        </w:rPr>
        <w:t xml:space="preserve"> </w:t>
      </w:r>
      <w:proofErr w:type="spellStart"/>
      <w:r w:rsidR="002C7E49">
        <w:rPr>
          <w:rFonts w:ascii="Calibri" w:eastAsia="Calibri" w:hAnsi="Calibri" w:cs="Calibri"/>
        </w:rPr>
        <w:t>p.p</w:t>
      </w:r>
      <w:proofErr w:type="spellEnd"/>
      <w:r>
        <w:rPr>
          <w:rFonts w:ascii="Calibri" w:eastAsia="Calibri" w:hAnsi="Calibri" w:cs="Calibri"/>
        </w:rPr>
        <w:t xml:space="preserve">. Narzucenie wyższego wskaźnika miało na celu określić, czy dany kredytobiorca poradzi sobie ze wzrostem raty po ewentualnych podwyżkach stóp procentowych. Zmiana ta poskutkowała drastycznym spadkiem zdolności kredytowej, u wszystkich kredytobiorców, z dnia na dzień. </w:t>
      </w:r>
    </w:p>
    <w:p w14:paraId="29631A89" w14:textId="3A68B6F5" w:rsidR="003D0645" w:rsidRDefault="003D064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wtorek, 07.02, rzecznik prasowy Komisji Nadzoru Finansowego poinformował, że Urząd Komisji Nadzoru Finansowego przekazał bankom informację o </w:t>
      </w:r>
      <w:r w:rsidR="00685EFA">
        <w:rPr>
          <w:rFonts w:ascii="Calibri" w:eastAsia="Calibri" w:hAnsi="Calibri" w:cs="Calibri"/>
        </w:rPr>
        <w:t>zmian</w:t>
      </w:r>
      <w:r w:rsidR="002C7E49">
        <w:rPr>
          <w:rFonts w:ascii="Calibri" w:eastAsia="Calibri" w:hAnsi="Calibri" w:cs="Calibri"/>
        </w:rPr>
        <w:t>ie</w:t>
      </w:r>
      <w:r w:rsidR="00685EFA">
        <w:rPr>
          <w:rFonts w:ascii="Calibri" w:eastAsia="Calibri" w:hAnsi="Calibri" w:cs="Calibri"/>
        </w:rPr>
        <w:t xml:space="preserve"> minimalnej stopy procentowej, jaka powinna być przyjmowana w procesie oceny zdolności kredytowej przy udzielaniu kredytów oprocentowanych zmienną i okresowo stała stopą procentową. </w:t>
      </w:r>
    </w:p>
    <w:p w14:paraId="65BEA3AA" w14:textId="1487A732" w:rsidR="00685EFA" w:rsidRDefault="00685EF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Komunikat UKNF ma kluczowe znaczenie dla rzeszy kredytobiorców, których sytuacja z kwietnia 2022 </w:t>
      </w:r>
      <w:r w:rsidR="002C7E49"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</w:rPr>
        <w:t xml:space="preserve">zastała w trakcie procesu kredytowego. Kwietniowe podwyższenie buforu skutkowało w przytłaczającej liczbie przypadków niemożliwością pozyskania finansowania z uwagi na obniżoną zdolność. </w:t>
      </w:r>
    </w:p>
    <w:p w14:paraId="450EA309" w14:textId="61A9F866" w:rsidR="00685EFA" w:rsidRDefault="00685EF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Zapowiedziane obniżenie buforu do 2,5</w:t>
      </w:r>
      <w:r w:rsidR="002C7E49">
        <w:rPr>
          <w:rFonts w:ascii="Calibri" w:eastAsia="Calibri" w:hAnsi="Calibri" w:cs="Calibri"/>
        </w:rPr>
        <w:t xml:space="preserve"> </w:t>
      </w:r>
      <w:proofErr w:type="spellStart"/>
      <w:r w:rsidR="002C7E49">
        <w:rPr>
          <w:rFonts w:ascii="Calibri" w:eastAsia="Calibri" w:hAnsi="Calibri" w:cs="Calibri"/>
        </w:rPr>
        <w:t>p.p</w:t>
      </w:r>
      <w:proofErr w:type="spellEnd"/>
      <w:r w:rsidR="002C7E4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- czyli powrót do poziomu sprzed kwietnia 2022 r. – sprawia, że wielu kredytobiorców jest w stanie ponownie starać się o kredyt z dużo większą szansą na jego uzyskanie. </w:t>
      </w:r>
    </w:p>
    <w:p w14:paraId="20DAD4FC" w14:textId="4D728717" w:rsidR="003D5A6B" w:rsidRDefault="003D5A6B">
      <w:pPr>
        <w:spacing w:after="160" w:line="256" w:lineRule="auto"/>
        <w:rPr>
          <w:rFonts w:ascii="Calibri" w:eastAsia="Calibri" w:hAnsi="Calibri" w:cs="Calibri"/>
        </w:rPr>
      </w:pPr>
      <w:r w:rsidRPr="001D0294">
        <w:rPr>
          <w:rFonts w:ascii="Calibri" w:eastAsia="Calibri" w:hAnsi="Calibri" w:cs="Calibri"/>
          <w:i/>
          <w:iCs/>
        </w:rPr>
        <w:t>„Rok 2022 był bardzo trudny dla osób planujących zakup lub budowę własnego M. Wciąż odczuwalne długotrwałe skutki pandemii, konflikt zbrojny tu</w:t>
      </w:r>
      <w:r w:rsidR="009C17ED" w:rsidRPr="001D0294">
        <w:rPr>
          <w:rFonts w:ascii="Calibri" w:eastAsia="Calibri" w:hAnsi="Calibri" w:cs="Calibri"/>
          <w:i/>
          <w:iCs/>
        </w:rPr>
        <w:t>ż</w:t>
      </w:r>
      <w:r w:rsidRPr="001D0294">
        <w:rPr>
          <w:rFonts w:ascii="Calibri" w:eastAsia="Calibri" w:hAnsi="Calibri" w:cs="Calibri"/>
          <w:i/>
          <w:iCs/>
        </w:rPr>
        <w:t xml:space="preserve"> za granicą naszego kraju i kryzys gospodarczy z rosnącą inflacją spowodowały gwałtowny wzrost stóp procentowych i bardz</w:t>
      </w:r>
      <w:r w:rsidR="009C17ED" w:rsidRPr="001D0294">
        <w:rPr>
          <w:rFonts w:ascii="Calibri" w:eastAsia="Calibri" w:hAnsi="Calibri" w:cs="Calibri"/>
          <w:i/>
          <w:iCs/>
        </w:rPr>
        <w:t>o</w:t>
      </w:r>
      <w:r w:rsidRPr="001D0294">
        <w:rPr>
          <w:rFonts w:ascii="Calibri" w:eastAsia="Calibri" w:hAnsi="Calibri" w:cs="Calibri"/>
          <w:i/>
          <w:iCs/>
        </w:rPr>
        <w:t xml:space="preserve"> silnie zaostrzaną polityką monetarną. Komisja Nadzoru Finansowego w kwietniu wydała znowelizowaną Rekomendację S, która miała druzgocący wpływa na zdolność kredytową Polaków”</w:t>
      </w:r>
      <w:r>
        <w:rPr>
          <w:rFonts w:ascii="Calibri" w:eastAsia="Calibri" w:hAnsi="Calibri" w:cs="Calibri"/>
        </w:rPr>
        <w:t xml:space="preserve"> – mówi </w:t>
      </w:r>
      <w:r w:rsidRPr="001D0294">
        <w:rPr>
          <w:rFonts w:ascii="Calibri" w:eastAsia="Calibri" w:hAnsi="Calibri" w:cs="Calibri"/>
          <w:b/>
          <w:bCs/>
        </w:rPr>
        <w:t xml:space="preserve">Michał </w:t>
      </w:r>
      <w:proofErr w:type="spellStart"/>
      <w:r w:rsidRPr="001D0294">
        <w:rPr>
          <w:rFonts w:ascii="Calibri" w:eastAsia="Calibri" w:hAnsi="Calibri" w:cs="Calibri"/>
          <w:b/>
          <w:bCs/>
        </w:rPr>
        <w:t>Petters</w:t>
      </w:r>
      <w:proofErr w:type="spellEnd"/>
      <w:r w:rsidRPr="001D0294">
        <w:rPr>
          <w:rFonts w:ascii="Calibri" w:eastAsia="Calibri" w:hAnsi="Calibri" w:cs="Calibri"/>
          <w:b/>
          <w:bCs/>
        </w:rPr>
        <w:t>, co-</w:t>
      </w:r>
      <w:proofErr w:type="spellStart"/>
      <w:r w:rsidRPr="001D0294">
        <w:rPr>
          <w:rFonts w:ascii="Calibri" w:eastAsia="Calibri" w:hAnsi="Calibri" w:cs="Calibri"/>
          <w:b/>
          <w:bCs/>
        </w:rPr>
        <w:t>founder</w:t>
      </w:r>
      <w:proofErr w:type="spellEnd"/>
      <w:r w:rsidRPr="001D029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D0294">
        <w:rPr>
          <w:rFonts w:ascii="Calibri" w:eastAsia="Calibri" w:hAnsi="Calibri" w:cs="Calibri"/>
          <w:b/>
          <w:bCs/>
        </w:rPr>
        <w:t>Lendi</w:t>
      </w:r>
      <w:proofErr w:type="spellEnd"/>
      <w:r w:rsidRPr="001D0294">
        <w:rPr>
          <w:rFonts w:ascii="Calibri" w:eastAsia="Calibri" w:hAnsi="Calibri" w:cs="Calibri"/>
          <w:b/>
          <w:bCs/>
        </w:rPr>
        <w:t xml:space="preserve">. </w:t>
      </w:r>
    </w:p>
    <w:p w14:paraId="1F7FD0DF" w14:textId="730C91BE" w:rsidR="003D5A6B" w:rsidRDefault="009C17ED">
      <w:pPr>
        <w:spacing w:after="160" w:line="256" w:lineRule="auto"/>
        <w:rPr>
          <w:rFonts w:ascii="Calibri" w:eastAsia="Calibri" w:hAnsi="Calibri" w:cs="Calibri"/>
        </w:rPr>
      </w:pPr>
      <w:r w:rsidRPr="001D0294">
        <w:rPr>
          <w:rFonts w:ascii="Calibri" w:eastAsia="Calibri" w:hAnsi="Calibri" w:cs="Calibri"/>
          <w:i/>
          <w:iCs/>
        </w:rPr>
        <w:t>„</w:t>
      </w:r>
      <w:r w:rsidR="003D5A6B" w:rsidRPr="001D0294">
        <w:rPr>
          <w:rFonts w:ascii="Calibri" w:eastAsia="Calibri" w:hAnsi="Calibri" w:cs="Calibri"/>
          <w:i/>
          <w:iCs/>
        </w:rPr>
        <w:t>Co dla kredytobiorców oznacza dzisiejszy komunikat UKNF? Przede wszystkim zwiększenie możliwości finansowania zakupu lub budowy nieruchomości w oparciu o okresowo stałą stopę procentową, poprzez zwiększenie zdolności kredytowej.</w:t>
      </w:r>
      <w:r w:rsidRPr="001D0294">
        <w:rPr>
          <w:rFonts w:ascii="Calibri" w:eastAsia="Calibri" w:hAnsi="Calibri" w:cs="Calibri"/>
          <w:i/>
          <w:iCs/>
        </w:rPr>
        <w:t xml:space="preserve"> To najlepszy moment, aby wrócić do planów sprzed roku i ponownie zweryfikować swoje możliwości</w:t>
      </w:r>
      <w:r w:rsidR="003D5A6B" w:rsidRPr="001D0294">
        <w:rPr>
          <w:rFonts w:ascii="Calibri" w:eastAsia="Calibri" w:hAnsi="Calibri" w:cs="Calibri"/>
          <w:i/>
          <w:iCs/>
        </w:rPr>
        <w:t>”</w:t>
      </w:r>
      <w:r>
        <w:rPr>
          <w:rFonts w:ascii="Calibri" w:eastAsia="Calibri" w:hAnsi="Calibri" w:cs="Calibri"/>
        </w:rPr>
        <w:t xml:space="preserve"> – dodaje Michał </w:t>
      </w:r>
      <w:proofErr w:type="spellStart"/>
      <w:r>
        <w:rPr>
          <w:rFonts w:ascii="Calibri" w:eastAsia="Calibri" w:hAnsi="Calibri" w:cs="Calibri"/>
        </w:rPr>
        <w:t>Petters</w:t>
      </w:r>
      <w:proofErr w:type="spellEnd"/>
      <w:r>
        <w:rPr>
          <w:rFonts w:ascii="Calibri" w:eastAsia="Calibri" w:hAnsi="Calibri" w:cs="Calibri"/>
        </w:rPr>
        <w:t>.</w:t>
      </w:r>
    </w:p>
    <w:p w14:paraId="7B59172F" w14:textId="722BA2AC" w:rsidR="003D0645" w:rsidRDefault="004423A7">
      <w:pPr>
        <w:spacing w:after="160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Zmiana na lepsze dla setek kredytobiorców</w:t>
      </w:r>
    </w:p>
    <w:p w14:paraId="190B7B92" w14:textId="1319F9AB" w:rsidR="004423A7" w:rsidRPr="004423A7" w:rsidRDefault="004423A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zapowiedziana przez UKNF weryfikacja Rekomendacji S i obniżenie buforu do 2,</w:t>
      </w:r>
      <w:r w:rsidR="009C17ED">
        <w:rPr>
          <w:rFonts w:ascii="Calibri" w:eastAsia="Calibri" w:hAnsi="Calibri" w:cs="Calibri"/>
        </w:rPr>
        <w:t xml:space="preserve">5 </w:t>
      </w:r>
      <w:proofErr w:type="spellStart"/>
      <w:r w:rsidR="009C17ED">
        <w:rPr>
          <w:rFonts w:ascii="Calibri" w:eastAsia="Calibri" w:hAnsi="Calibri" w:cs="Calibri"/>
        </w:rPr>
        <w:t>p.p</w:t>
      </w:r>
      <w:proofErr w:type="spellEnd"/>
      <w:r w:rsidR="009C17E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wpłynie na sytuację kredytobiorców, którzy w ostatnim roku nie mieli możliwości zaciągnięcia kredytu hipotecznego z uwagi na niską zdolność kredytową? Wystarczy zerknąć na kilka reprezentatywnych przykładów. </w:t>
      </w:r>
    </w:p>
    <w:p w14:paraId="00000009" w14:textId="0FE64CA5" w:rsidR="00542607" w:rsidRDefault="004423A7" w:rsidP="002C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kredytobiorcy zatrudnionego w oparciu o umowę o pracę na czas nieokreślony; będącego singlem bez dzieci i posiadającego dochód na poziomie 5000 zł netto., jego zdolność kredytowa przed kwietniem 2022 roku wahała się w przedziale 370-400 tysięcy złotych. Po podwyżce buforu do 5%, zgodnie z rekomendacją KNF z kwietnia 2022 r., bank licząc zdolność zakładał stopy procentowe na poziomie ponad 12% (czyli WIBOR na poziomie ok. 7,2% plus 5% narzuconego odgórnie buforu - na wypadek</w:t>
      </w:r>
      <w:r w:rsidR="001D029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gdyby stopy procentowe wzrosły). Zatem </w:t>
      </w:r>
      <w:r w:rsidR="009C17ED">
        <w:rPr>
          <w:rFonts w:ascii="Calibri" w:eastAsia="Calibri" w:hAnsi="Calibri" w:cs="Calibri"/>
        </w:rPr>
        <w:t>zdolność</w:t>
      </w:r>
      <w:r>
        <w:rPr>
          <w:rFonts w:ascii="Calibri" w:eastAsia="Calibri" w:hAnsi="Calibri" w:cs="Calibri"/>
        </w:rPr>
        <w:t xml:space="preserve"> tego klienta obniżyła się do kwoty 260-280 tysięcy złotych</w:t>
      </w:r>
      <w:r w:rsidR="00325CF2">
        <w:rPr>
          <w:rFonts w:ascii="Calibri" w:eastAsia="Calibri" w:hAnsi="Calibri" w:cs="Calibri"/>
        </w:rPr>
        <w:t>, czyli s</w:t>
      </w:r>
      <w:r>
        <w:rPr>
          <w:rFonts w:ascii="Calibri" w:eastAsia="Calibri" w:hAnsi="Calibri" w:cs="Calibri"/>
        </w:rPr>
        <w:t xml:space="preserve">padła o około 100 tysięcy. </w:t>
      </w:r>
    </w:p>
    <w:p w14:paraId="0000000A" w14:textId="090CF6A6" w:rsidR="00542607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 tego powodu wielu kredytobiorców musiało odłożyć plany o zakupie własnego mieszkania lub budowie domu. To z kolei przełożyło się na znaczny spadek sprzedaży kredytów hipotecznych od drugiego kwartału 2022 roku, w porównaniu </w:t>
      </w:r>
      <w:r w:rsidR="00DB476E">
        <w:rPr>
          <w:rFonts w:ascii="Calibri" w:eastAsia="Calibri" w:hAnsi="Calibri" w:cs="Calibri"/>
        </w:rPr>
        <w:t xml:space="preserve">do </w:t>
      </w:r>
      <w:r>
        <w:rPr>
          <w:rFonts w:ascii="Calibri" w:eastAsia="Calibri" w:hAnsi="Calibri" w:cs="Calibri"/>
        </w:rPr>
        <w:t>poprzedniego, 2021 roku.</w:t>
      </w:r>
    </w:p>
    <w:p w14:paraId="17F95907" w14:textId="77777777" w:rsidR="00325CF2" w:rsidRDefault="00325CF2" w:rsidP="00325CF2">
      <w:pPr>
        <w:spacing w:after="160" w:line="256" w:lineRule="auto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25CF2" w:rsidRPr="0033765E" w14:paraId="49365BEE" w14:textId="77777777" w:rsidTr="00124D69">
        <w:tc>
          <w:tcPr>
            <w:tcW w:w="9019" w:type="dxa"/>
            <w:gridSpan w:val="2"/>
          </w:tcPr>
          <w:p w14:paraId="53D90F8C" w14:textId="77777777" w:rsidR="00325CF2" w:rsidRPr="0033765E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3765E">
              <w:rPr>
                <w:rFonts w:ascii="Calibri" w:eastAsia="Calibri" w:hAnsi="Calibri" w:cs="Calibri"/>
                <w:b/>
                <w:bCs/>
              </w:rPr>
              <w:t>Średnia zdolność kredytowa – singiel bez dzieci, umowa o pracę na czas nieokreślony, dochód 5000zł netto,</w:t>
            </w:r>
          </w:p>
        </w:tc>
      </w:tr>
      <w:tr w:rsidR="00325CF2" w:rsidRPr="0033765E" w14:paraId="234610D8" w14:textId="77777777" w:rsidTr="00124D69">
        <w:tc>
          <w:tcPr>
            <w:tcW w:w="4509" w:type="dxa"/>
          </w:tcPr>
          <w:p w14:paraId="45718CC8" w14:textId="77777777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Bufor 5% - przed zmianą</w:t>
            </w:r>
          </w:p>
        </w:tc>
        <w:tc>
          <w:tcPr>
            <w:tcW w:w="4510" w:type="dxa"/>
          </w:tcPr>
          <w:p w14:paraId="3032ADE6" w14:textId="77777777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Bufor 2,5% - po zmianie</w:t>
            </w:r>
          </w:p>
        </w:tc>
      </w:tr>
      <w:tr w:rsidR="00325CF2" w:rsidRPr="0033765E" w14:paraId="2043226F" w14:textId="77777777" w:rsidTr="00124D69">
        <w:tc>
          <w:tcPr>
            <w:tcW w:w="4509" w:type="dxa"/>
          </w:tcPr>
          <w:p w14:paraId="52010276" w14:textId="37ADC0C5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270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000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zł</w:t>
            </w:r>
          </w:p>
        </w:tc>
        <w:tc>
          <w:tcPr>
            <w:tcW w:w="4510" w:type="dxa"/>
          </w:tcPr>
          <w:p w14:paraId="0BC85A76" w14:textId="053FF4FA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385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000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zł</w:t>
            </w:r>
          </w:p>
        </w:tc>
      </w:tr>
      <w:tr w:rsidR="00325CF2" w:rsidRPr="0033765E" w14:paraId="11E2416A" w14:textId="77777777" w:rsidTr="00124D69">
        <w:tc>
          <w:tcPr>
            <w:tcW w:w="9019" w:type="dxa"/>
            <w:gridSpan w:val="2"/>
          </w:tcPr>
          <w:p w14:paraId="4A8CAD54" w14:textId="77777777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Małżeństwo bez dzieci, 2 x umowa na czas nieokreślony, łącznie 8 000zł netto dochodu</w:t>
            </w:r>
          </w:p>
        </w:tc>
      </w:tr>
      <w:tr w:rsidR="00325CF2" w:rsidRPr="0033765E" w14:paraId="554F8CE2" w14:textId="77777777" w:rsidTr="00124D69">
        <w:tc>
          <w:tcPr>
            <w:tcW w:w="4509" w:type="dxa"/>
          </w:tcPr>
          <w:p w14:paraId="2FF44771" w14:textId="356DF8D9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260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000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 xml:space="preserve">zł </w:t>
            </w:r>
          </w:p>
        </w:tc>
        <w:tc>
          <w:tcPr>
            <w:tcW w:w="4510" w:type="dxa"/>
          </w:tcPr>
          <w:p w14:paraId="49657BEA" w14:textId="6CCAA0E6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350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000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zł</w:t>
            </w:r>
          </w:p>
        </w:tc>
      </w:tr>
      <w:tr w:rsidR="00325CF2" w:rsidRPr="0033765E" w14:paraId="163AFE2C" w14:textId="77777777" w:rsidTr="00124D69">
        <w:tc>
          <w:tcPr>
            <w:tcW w:w="9019" w:type="dxa"/>
            <w:gridSpan w:val="2"/>
          </w:tcPr>
          <w:p w14:paraId="67DCA1E0" w14:textId="77777777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Małżeństwo z jednym dzieckiem, 2 x umowa na czas nieokreślony, łącznie 10 000zł netto dochodu</w:t>
            </w:r>
          </w:p>
        </w:tc>
      </w:tr>
      <w:tr w:rsidR="00325CF2" w:rsidRPr="0033765E" w14:paraId="5A564375" w14:textId="77777777" w:rsidTr="00325CF2">
        <w:trPr>
          <w:trHeight w:val="420"/>
        </w:trPr>
        <w:tc>
          <w:tcPr>
            <w:tcW w:w="4509" w:type="dxa"/>
          </w:tcPr>
          <w:p w14:paraId="703591C2" w14:textId="101731BC" w:rsidR="00325CF2" w:rsidRPr="002F0D20" w:rsidRDefault="00325CF2" w:rsidP="00124D6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400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000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zł</w:t>
            </w:r>
          </w:p>
        </w:tc>
        <w:tc>
          <w:tcPr>
            <w:tcW w:w="4510" w:type="dxa"/>
          </w:tcPr>
          <w:p w14:paraId="0A6B883D" w14:textId="64DBA7C0" w:rsidR="00325CF2" w:rsidRPr="002F0D20" w:rsidRDefault="00325CF2" w:rsidP="002F0D20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2F0D20">
              <w:rPr>
                <w:rFonts w:ascii="Calibri" w:eastAsia="Calibri" w:hAnsi="Calibri" w:cs="Calibri"/>
                <w:color w:val="000000" w:themeColor="text1"/>
              </w:rPr>
              <w:t>540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000</w:t>
            </w:r>
            <w:r w:rsidR="002F0D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F0D20">
              <w:rPr>
                <w:rFonts w:ascii="Calibri" w:eastAsia="Calibri" w:hAnsi="Calibri" w:cs="Calibri"/>
                <w:color w:val="000000" w:themeColor="text1"/>
              </w:rPr>
              <w:t>zł</w:t>
            </w:r>
          </w:p>
        </w:tc>
      </w:tr>
    </w:tbl>
    <w:p w14:paraId="2F562C97" w14:textId="7A10A322" w:rsidR="00325CF2" w:rsidRPr="00956054" w:rsidRDefault="00956054" w:rsidP="00956054">
      <w:pPr>
        <w:spacing w:after="160" w:line="256" w:lineRule="auto"/>
        <w:jc w:val="center"/>
        <w:rPr>
          <w:rFonts w:ascii="Calibri" w:eastAsia="Calibri" w:hAnsi="Calibri" w:cs="Calibri"/>
          <w:i/>
          <w:iCs/>
          <w:sz w:val="16"/>
          <w:szCs w:val="16"/>
        </w:rPr>
      </w:pPr>
      <w:proofErr w:type="spellStart"/>
      <w:r w:rsidRPr="00956054">
        <w:rPr>
          <w:rFonts w:ascii="Calibri" w:eastAsia="Calibri" w:hAnsi="Calibri" w:cs="Calibri"/>
          <w:i/>
          <w:iCs/>
          <w:sz w:val="16"/>
          <w:szCs w:val="16"/>
        </w:rPr>
        <w:t>Oprac.Jakub</w:t>
      </w:r>
      <w:proofErr w:type="spellEnd"/>
      <w:r w:rsidRPr="00956054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proofErr w:type="spellStart"/>
      <w:r w:rsidRPr="00956054">
        <w:rPr>
          <w:rFonts w:ascii="Calibri" w:eastAsia="Calibri" w:hAnsi="Calibri" w:cs="Calibri"/>
          <w:i/>
          <w:iCs/>
          <w:sz w:val="16"/>
          <w:szCs w:val="16"/>
        </w:rPr>
        <w:t>Łapaj</w:t>
      </w:r>
      <w:proofErr w:type="spellEnd"/>
      <w:r w:rsidRPr="00956054">
        <w:rPr>
          <w:rFonts w:ascii="Calibri" w:eastAsia="Calibri" w:hAnsi="Calibri" w:cs="Calibri"/>
          <w:i/>
          <w:iCs/>
          <w:sz w:val="16"/>
          <w:szCs w:val="16"/>
        </w:rPr>
        <w:t xml:space="preserve"> i Jakub Kucharek</w:t>
      </w:r>
    </w:p>
    <w:p w14:paraId="5BE57554" w14:textId="77777777" w:rsidR="00956054" w:rsidRDefault="00956054" w:rsidP="0000677C">
      <w:pPr>
        <w:spacing w:after="160" w:line="256" w:lineRule="auto"/>
        <w:rPr>
          <w:rFonts w:ascii="Calibri" w:eastAsia="Calibri" w:hAnsi="Calibri" w:cs="Calibri"/>
        </w:rPr>
      </w:pPr>
    </w:p>
    <w:p w14:paraId="7E805EF0" w14:textId="6B4F4A62" w:rsidR="0000677C" w:rsidRDefault="00000000" w:rsidP="0000677C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Zmiana, </w:t>
      </w:r>
      <w:r w:rsidR="0000677C">
        <w:rPr>
          <w:rFonts w:ascii="Calibri" w:eastAsia="Calibri" w:hAnsi="Calibri" w:cs="Calibri"/>
        </w:rPr>
        <w:t xml:space="preserve">ogłoszona przez rzecznika UKNF </w:t>
      </w:r>
      <w:r w:rsidR="002C7E49">
        <w:rPr>
          <w:rFonts w:ascii="Calibri" w:eastAsia="Calibri" w:hAnsi="Calibri" w:cs="Calibri"/>
        </w:rPr>
        <w:t xml:space="preserve">07.02.2023 r. </w:t>
      </w:r>
      <w:r w:rsidR="0000677C">
        <w:rPr>
          <w:rFonts w:ascii="Calibri" w:eastAsia="Calibri" w:hAnsi="Calibri" w:cs="Calibri"/>
        </w:rPr>
        <w:t xml:space="preserve">i przesłana już do banków, zakłada powrót do </w:t>
      </w:r>
      <w:r w:rsidR="0000677C" w:rsidRPr="0000677C">
        <w:rPr>
          <w:rFonts w:ascii="Calibri" w:eastAsia="Calibri" w:hAnsi="Calibri" w:cs="Calibri"/>
        </w:rPr>
        <w:t>minimaln</w:t>
      </w:r>
      <w:r w:rsidR="0000677C">
        <w:rPr>
          <w:rFonts w:ascii="Calibri" w:eastAsia="Calibri" w:hAnsi="Calibri" w:cs="Calibri"/>
        </w:rPr>
        <w:t>ej</w:t>
      </w:r>
      <w:r w:rsidR="0000677C" w:rsidRPr="0000677C">
        <w:rPr>
          <w:rFonts w:ascii="Calibri" w:eastAsia="Calibri" w:hAnsi="Calibri" w:cs="Calibri"/>
        </w:rPr>
        <w:t xml:space="preserve"> stopy procentowej, jaka powinna być przyjmowana w procesie oceny zdolności kredytowej, przy udzielaniu kredytów oprocentowanych zmienną i okresowo stałą stopą procentową, </w:t>
      </w:r>
      <w:r w:rsidR="0000677C">
        <w:rPr>
          <w:rFonts w:ascii="Calibri" w:eastAsia="Calibri" w:hAnsi="Calibri" w:cs="Calibri"/>
        </w:rPr>
        <w:t>na poziomie</w:t>
      </w:r>
      <w:r w:rsidR="0000677C" w:rsidRPr="0000677C">
        <w:rPr>
          <w:rFonts w:ascii="Calibri" w:eastAsia="Calibri" w:hAnsi="Calibri" w:cs="Calibri"/>
        </w:rPr>
        <w:t xml:space="preserve"> 2,5 </w:t>
      </w:r>
      <w:proofErr w:type="spellStart"/>
      <w:r w:rsidR="0000677C" w:rsidRPr="0000677C">
        <w:rPr>
          <w:rFonts w:ascii="Calibri" w:eastAsia="Calibri" w:hAnsi="Calibri" w:cs="Calibri"/>
        </w:rPr>
        <w:t>p.p</w:t>
      </w:r>
      <w:proofErr w:type="spellEnd"/>
      <w:r w:rsidR="0000677C" w:rsidRPr="0000677C">
        <w:rPr>
          <w:rFonts w:ascii="Calibri" w:eastAsia="Calibri" w:hAnsi="Calibri" w:cs="Calibri"/>
        </w:rPr>
        <w:t>.</w:t>
      </w:r>
      <w:r w:rsidR="0000677C">
        <w:rPr>
          <w:rFonts w:ascii="Calibri" w:eastAsia="Calibri" w:hAnsi="Calibri" w:cs="Calibri"/>
        </w:rPr>
        <w:t xml:space="preserve"> Bufor w minimalny</w:t>
      </w:r>
      <w:r w:rsidR="00DB476E">
        <w:rPr>
          <w:rFonts w:ascii="Calibri" w:eastAsia="Calibri" w:hAnsi="Calibri" w:cs="Calibri"/>
        </w:rPr>
        <w:t>m</w:t>
      </w:r>
      <w:r w:rsidR="0000677C">
        <w:rPr>
          <w:rFonts w:ascii="Calibri" w:eastAsia="Calibri" w:hAnsi="Calibri" w:cs="Calibri"/>
        </w:rPr>
        <w:t xml:space="preserve"> wymiarze, zgodnie z informacją przekazaną bankom, </w:t>
      </w:r>
      <w:r w:rsidR="0000677C" w:rsidRPr="0000677C">
        <w:rPr>
          <w:rFonts w:ascii="Calibri" w:eastAsia="Calibri" w:hAnsi="Calibri" w:cs="Calibri"/>
        </w:rPr>
        <w:t>tj.</w:t>
      </w:r>
      <w:r w:rsidR="0000677C">
        <w:rPr>
          <w:rFonts w:ascii="Calibri" w:eastAsia="Calibri" w:hAnsi="Calibri" w:cs="Calibri"/>
        </w:rPr>
        <w:t xml:space="preserve"> </w:t>
      </w:r>
      <w:r w:rsidR="0000677C" w:rsidRPr="0000677C">
        <w:rPr>
          <w:rFonts w:ascii="Calibri" w:eastAsia="Calibri" w:hAnsi="Calibri" w:cs="Calibri"/>
        </w:rPr>
        <w:t xml:space="preserve">2,5 </w:t>
      </w:r>
      <w:proofErr w:type="spellStart"/>
      <w:r w:rsidR="0000677C" w:rsidRPr="0000677C">
        <w:rPr>
          <w:rFonts w:ascii="Calibri" w:eastAsia="Calibri" w:hAnsi="Calibri" w:cs="Calibri"/>
        </w:rPr>
        <w:t>p.p</w:t>
      </w:r>
      <w:proofErr w:type="spellEnd"/>
      <w:r w:rsidR="0000677C" w:rsidRPr="0000677C">
        <w:rPr>
          <w:rFonts w:ascii="Calibri" w:eastAsia="Calibri" w:hAnsi="Calibri" w:cs="Calibri"/>
        </w:rPr>
        <w:t>., powinien mieć zastosowanie dla kredytów o tymczasowo stałej stopie procentowej. W przypadku kredytów oprocentowanych zmienną stopą procentową</w:t>
      </w:r>
      <w:r w:rsidR="0000677C">
        <w:rPr>
          <w:rFonts w:ascii="Calibri" w:eastAsia="Calibri" w:hAnsi="Calibri" w:cs="Calibri"/>
        </w:rPr>
        <w:t xml:space="preserve"> UKNF ocenę ryzyka i przyjęcie adekwatnie wyższego poziomu buforu przekazuje bankom.</w:t>
      </w:r>
    </w:p>
    <w:p w14:paraId="0000000D" w14:textId="25DF994F" w:rsidR="00542607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</w:t>
      </w:r>
      <w:r w:rsidR="0000677C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</w:rPr>
        <w:t xml:space="preserve"> prognozować, że powyższa zmiana poskutkuje powrotem do zdolności zbliżonej do okresu przed wejściem w życie rekomendacji.</w:t>
      </w:r>
    </w:p>
    <w:p w14:paraId="4BDAB699" w14:textId="2495B962" w:rsidR="002C7E49" w:rsidRPr="00F355A4" w:rsidRDefault="002C7E49" w:rsidP="00F355A4">
      <w:pPr>
        <w:spacing w:after="160" w:line="256" w:lineRule="auto"/>
        <w:rPr>
          <w:rFonts w:ascii="Calibri" w:eastAsia="Calibri" w:hAnsi="Calibri" w:cs="Calibri"/>
        </w:rPr>
      </w:pPr>
      <w:r w:rsidRPr="001D0294">
        <w:rPr>
          <w:rFonts w:ascii="Calibri" w:eastAsia="Calibri" w:hAnsi="Calibri" w:cs="Calibri"/>
          <w:i/>
          <w:iCs/>
        </w:rPr>
        <w:t>„</w:t>
      </w:r>
      <w:r w:rsidR="00F355A4" w:rsidRPr="001D0294">
        <w:rPr>
          <w:rFonts w:ascii="Calibri" w:eastAsia="Calibri" w:hAnsi="Calibri" w:cs="Calibri"/>
          <w:i/>
          <w:iCs/>
        </w:rPr>
        <w:t>Szacujemy, że z</w:t>
      </w:r>
      <w:r w:rsidRPr="001D0294">
        <w:rPr>
          <w:rFonts w:ascii="Calibri" w:eastAsia="Calibri" w:hAnsi="Calibri" w:cs="Calibri"/>
          <w:i/>
          <w:iCs/>
        </w:rPr>
        <w:t>miana Rekomendacji S w zakresie bufora stosowanego do obliczania zdolności kredytowej</w:t>
      </w:r>
      <w:r w:rsidR="00F355A4" w:rsidRPr="001D0294">
        <w:rPr>
          <w:rFonts w:ascii="Calibri" w:eastAsia="Calibri" w:hAnsi="Calibri" w:cs="Calibri"/>
          <w:i/>
          <w:iCs/>
        </w:rPr>
        <w:t xml:space="preserve"> zwiększy możliwości kredytowe Polaków średnio</w:t>
      </w:r>
      <w:r w:rsidR="00DB476E">
        <w:rPr>
          <w:rFonts w:ascii="Calibri" w:eastAsia="Calibri" w:hAnsi="Calibri" w:cs="Calibri"/>
          <w:i/>
          <w:iCs/>
        </w:rPr>
        <w:t xml:space="preserve"> o</w:t>
      </w:r>
      <w:r w:rsidR="00F355A4" w:rsidRPr="001D0294">
        <w:rPr>
          <w:rFonts w:ascii="Calibri" w:eastAsia="Calibri" w:hAnsi="Calibri" w:cs="Calibri"/>
          <w:i/>
          <w:iCs/>
        </w:rPr>
        <w:t xml:space="preserve"> 15-20%.</w:t>
      </w:r>
      <w:r w:rsidRPr="001D0294">
        <w:rPr>
          <w:rFonts w:ascii="Calibri" w:eastAsia="Calibri" w:hAnsi="Calibri" w:cs="Calibri"/>
          <w:i/>
          <w:iCs/>
        </w:rPr>
        <w:t>”</w:t>
      </w:r>
      <w:r w:rsidR="00F355A4">
        <w:rPr>
          <w:rFonts w:ascii="Calibri" w:eastAsia="Calibri" w:hAnsi="Calibri" w:cs="Calibri"/>
        </w:rPr>
        <w:t xml:space="preserve"> – mówi </w:t>
      </w:r>
      <w:r w:rsidR="00F355A4" w:rsidRPr="001D0294">
        <w:rPr>
          <w:rFonts w:ascii="Calibri" w:eastAsia="Calibri" w:hAnsi="Calibri" w:cs="Calibri"/>
          <w:b/>
          <w:bCs/>
        </w:rPr>
        <w:t xml:space="preserve">Tomasz Binkowski, Dyrektor Sieci Oddziałów Własnych </w:t>
      </w:r>
      <w:proofErr w:type="spellStart"/>
      <w:r w:rsidR="00F355A4" w:rsidRPr="001D0294">
        <w:rPr>
          <w:rFonts w:ascii="Calibri" w:eastAsia="Calibri" w:hAnsi="Calibri" w:cs="Calibri"/>
          <w:b/>
          <w:bCs/>
        </w:rPr>
        <w:t>Lendi</w:t>
      </w:r>
      <w:proofErr w:type="spellEnd"/>
      <w:r w:rsidR="00F355A4">
        <w:rPr>
          <w:rFonts w:ascii="Calibri" w:eastAsia="Calibri" w:hAnsi="Calibri" w:cs="Calibri"/>
        </w:rPr>
        <w:t xml:space="preserve"> – </w:t>
      </w:r>
      <w:r w:rsidR="00F355A4" w:rsidRPr="001D0294">
        <w:rPr>
          <w:rFonts w:ascii="Calibri" w:eastAsia="Calibri" w:hAnsi="Calibri" w:cs="Calibri"/>
          <w:i/>
          <w:iCs/>
        </w:rPr>
        <w:t>„Należy jednak pamiętać, że rozbieżności w ocenie poziomu zdolności pomiędzy bankami mogą sięgać aż 40%, a to oznacza, że cały efekt wzrostu zdolności kredytowej</w:t>
      </w:r>
      <w:r w:rsidR="00DB476E">
        <w:rPr>
          <w:rFonts w:ascii="Calibri" w:eastAsia="Calibri" w:hAnsi="Calibri" w:cs="Calibri"/>
          <w:i/>
          <w:iCs/>
        </w:rPr>
        <w:t>,</w:t>
      </w:r>
      <w:r w:rsidR="00F355A4" w:rsidRPr="001D0294">
        <w:rPr>
          <w:rFonts w:ascii="Calibri" w:eastAsia="Calibri" w:hAnsi="Calibri" w:cs="Calibri"/>
          <w:i/>
          <w:iCs/>
        </w:rPr>
        <w:t xml:space="preserve"> na skutek zmiany rekomendacji KNF</w:t>
      </w:r>
      <w:r w:rsidR="00DB476E">
        <w:rPr>
          <w:rFonts w:ascii="Calibri" w:eastAsia="Calibri" w:hAnsi="Calibri" w:cs="Calibri"/>
          <w:i/>
          <w:iCs/>
        </w:rPr>
        <w:t>,</w:t>
      </w:r>
      <w:r w:rsidR="00F355A4" w:rsidRPr="001D0294">
        <w:rPr>
          <w:rFonts w:ascii="Calibri" w:eastAsia="Calibri" w:hAnsi="Calibri" w:cs="Calibri"/>
          <w:i/>
          <w:iCs/>
        </w:rPr>
        <w:t xml:space="preserve"> ulegnie zniwelowaniu”</w:t>
      </w:r>
    </w:p>
    <w:p w14:paraId="0000000E" w14:textId="038F2236" w:rsidR="00542607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Niektóre banki, w obliczu drastycznego spadku sprzedaży kredytów hipotecznych, nie czekając na obniżenie bufora, wprowadziły szereg zmian w metodyce liczenia zdolności kredytowej. Dotyczą one między innymi przyjmowania do dochodu świadczenia 500+, czy bardziej liberalnego sposobu określania dochodu, wynikającego z prowadzonej działalności gospodarczej. </w:t>
      </w:r>
    </w:p>
    <w:p w14:paraId="25203475" w14:textId="176B2253" w:rsidR="003D5A6B" w:rsidRPr="003D5A6B" w:rsidRDefault="003D5A6B">
      <w:pPr>
        <w:spacing w:after="160" w:line="256" w:lineRule="auto"/>
        <w:rPr>
          <w:rFonts w:ascii="Calibri" w:eastAsia="Calibri" w:hAnsi="Calibri" w:cs="Calibri"/>
          <w:b/>
          <w:bCs/>
        </w:rPr>
      </w:pPr>
      <w:r w:rsidRPr="003D5A6B">
        <w:rPr>
          <w:rFonts w:ascii="Calibri" w:eastAsia="Calibri" w:hAnsi="Calibri" w:cs="Calibri"/>
          <w:b/>
          <w:bCs/>
        </w:rPr>
        <w:t>Profesjonalizacja rynku</w:t>
      </w:r>
    </w:p>
    <w:p w14:paraId="0000000F" w14:textId="041098E8" w:rsidR="00542607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Zapowiedziana zmiana spowoduje zwiększenie dostępności kredytów hipotecznych na polskim rynku. Pod kątem procedur będzie to dla kredytobiorcy dodatkowe utrudnienie (w jednym banku mogą pojawić się 3 różne warianty zdolności kredytowej – w zależności od rodzaju stopy oprocentowania oraz okresu kredytowania). W takiej sytuacji jeszcze bardziej powinna zwiększyć się rola eksperta finansowego, który odpowiednio przeprowadzi wywiad z klientem, określi możliwości i pomoże w doborze najlepszego sposobu finansowania. </w:t>
      </w:r>
    </w:p>
    <w:p w14:paraId="6C988FB3" w14:textId="676C58DB" w:rsidR="009C17ED" w:rsidRPr="001D0294" w:rsidRDefault="003D5A6B">
      <w:pPr>
        <w:spacing w:after="160" w:line="256" w:lineRule="auto"/>
        <w:rPr>
          <w:rFonts w:ascii="Calibri" w:eastAsia="Calibri" w:hAnsi="Calibri" w:cs="Calibri"/>
        </w:rPr>
      </w:pPr>
      <w:r w:rsidRPr="001D0294">
        <w:rPr>
          <w:rFonts w:ascii="Calibri" w:eastAsia="Calibri" w:hAnsi="Calibri" w:cs="Calibri"/>
          <w:i/>
          <w:iCs/>
        </w:rPr>
        <w:lastRenderedPageBreak/>
        <w:t>„Z jednej strony wiele osób musiało odłożyć w czasie lub nawet zrezygnować z zakupu własnego mieszkania. Z drugiej</w:t>
      </w:r>
      <w:r w:rsidR="00DB476E">
        <w:rPr>
          <w:rFonts w:ascii="Calibri" w:eastAsia="Calibri" w:hAnsi="Calibri" w:cs="Calibri"/>
          <w:i/>
          <w:iCs/>
        </w:rPr>
        <w:t>,</w:t>
      </w:r>
      <w:r w:rsidRPr="001D0294">
        <w:rPr>
          <w:rFonts w:ascii="Calibri" w:eastAsia="Calibri" w:hAnsi="Calibri" w:cs="Calibri"/>
          <w:i/>
          <w:iCs/>
        </w:rPr>
        <w:t xml:space="preserve"> wszyscy ci, którzy już posiadali zobowiązanie kredytowe musieli zmierzyć się ze znaczącym wzrostem comiesięcznych rat kredytowych. Rola podmiotów takich, jak </w:t>
      </w:r>
      <w:proofErr w:type="spellStart"/>
      <w:r w:rsidRPr="001D0294">
        <w:rPr>
          <w:rFonts w:ascii="Calibri" w:eastAsia="Calibri" w:hAnsi="Calibri" w:cs="Calibri"/>
          <w:i/>
          <w:iCs/>
        </w:rPr>
        <w:t>Lendi</w:t>
      </w:r>
      <w:proofErr w:type="spellEnd"/>
      <w:r w:rsidRPr="001D0294">
        <w:rPr>
          <w:rFonts w:ascii="Calibri" w:eastAsia="Calibri" w:hAnsi="Calibri" w:cs="Calibri"/>
          <w:i/>
          <w:iCs/>
        </w:rPr>
        <w:t xml:space="preserve"> – pośredników finansowych, z dnia na dzień uległa zmianie”</w:t>
      </w:r>
      <w:r w:rsidR="009C17ED">
        <w:rPr>
          <w:rFonts w:ascii="Calibri" w:eastAsia="Calibri" w:hAnsi="Calibri" w:cs="Calibri"/>
        </w:rPr>
        <w:t xml:space="preserve"> – mówi </w:t>
      </w:r>
      <w:r w:rsidR="00F355A4" w:rsidRPr="00DB476E">
        <w:rPr>
          <w:rFonts w:ascii="Calibri" w:eastAsia="Calibri" w:hAnsi="Calibri" w:cs="Calibri"/>
          <w:b/>
          <w:bCs/>
        </w:rPr>
        <w:t xml:space="preserve">Michał </w:t>
      </w:r>
      <w:proofErr w:type="spellStart"/>
      <w:r w:rsidR="00F355A4" w:rsidRPr="00DB476E">
        <w:rPr>
          <w:rFonts w:ascii="Calibri" w:eastAsia="Calibri" w:hAnsi="Calibri" w:cs="Calibri"/>
          <w:b/>
          <w:bCs/>
        </w:rPr>
        <w:t>Petters</w:t>
      </w:r>
      <w:proofErr w:type="spellEnd"/>
      <w:r w:rsidR="001D0294">
        <w:rPr>
          <w:rFonts w:ascii="Calibri" w:eastAsia="Calibri" w:hAnsi="Calibri" w:cs="Calibri"/>
        </w:rPr>
        <w:t xml:space="preserve"> i dodaje: </w:t>
      </w:r>
      <w:r w:rsidR="009C17ED" w:rsidRPr="001D0294">
        <w:rPr>
          <w:rFonts w:ascii="Calibri" w:eastAsia="Calibri" w:hAnsi="Calibri" w:cs="Calibri"/>
          <w:i/>
          <w:iCs/>
        </w:rPr>
        <w:t xml:space="preserve">„Ten kryzys </w:t>
      </w:r>
      <w:proofErr w:type="spellStart"/>
      <w:r w:rsidR="009C17ED" w:rsidRPr="001D0294">
        <w:rPr>
          <w:rFonts w:ascii="Calibri" w:eastAsia="Calibri" w:hAnsi="Calibri" w:cs="Calibri"/>
          <w:i/>
          <w:iCs/>
        </w:rPr>
        <w:t>zaskutkował</w:t>
      </w:r>
      <w:proofErr w:type="spellEnd"/>
      <w:r w:rsidR="009C17ED" w:rsidRPr="001D0294">
        <w:rPr>
          <w:rFonts w:ascii="Calibri" w:eastAsia="Calibri" w:hAnsi="Calibri" w:cs="Calibri"/>
          <w:i/>
          <w:iCs/>
        </w:rPr>
        <w:t xml:space="preserve"> rosnącą profesjonalizacją usługi finansowej. Zgodnie z danymi ZFPF</w:t>
      </w:r>
      <w:r w:rsidR="00DB476E">
        <w:rPr>
          <w:rFonts w:ascii="Calibri" w:eastAsia="Calibri" w:hAnsi="Calibri" w:cs="Calibri"/>
          <w:i/>
          <w:iCs/>
        </w:rPr>
        <w:t>,</w:t>
      </w:r>
      <w:r w:rsidR="009C17ED" w:rsidRPr="001D0294">
        <w:rPr>
          <w:rFonts w:ascii="Calibri" w:eastAsia="Calibri" w:hAnsi="Calibri" w:cs="Calibri"/>
          <w:i/>
          <w:iCs/>
        </w:rPr>
        <w:t xml:space="preserve"> już </w:t>
      </w:r>
      <w:r w:rsidR="00F355A4" w:rsidRPr="001D0294">
        <w:rPr>
          <w:rFonts w:ascii="Calibri" w:eastAsia="Calibri" w:hAnsi="Calibri" w:cs="Calibri"/>
          <w:i/>
          <w:iCs/>
        </w:rPr>
        <w:t>75</w:t>
      </w:r>
      <w:r w:rsidR="009C17ED" w:rsidRPr="001D0294">
        <w:rPr>
          <w:rFonts w:ascii="Calibri" w:eastAsia="Calibri" w:hAnsi="Calibri" w:cs="Calibri"/>
          <w:i/>
          <w:iCs/>
        </w:rPr>
        <w:t>% ogólnej liczby zaciągniętych kredytów dokonano przy udziale pośrednika finansowego. Bieżąca sytuacja, czyli obniżenie buforu oceny zdolności kredytowej, niewątpliwie korzystna z punktu widzenia potencjalnego kredytobiorcy, wymaga rozważnego i merytorycznego podejścia. Z uwagi na wskazania UKNF, aby najniższy poziom buforu stosować wyłącznie do kredytów ze stopą okresowo stałą, możliwe są spore komplikacje i rozbieżności w wyliczeniach zdolności kredytowej jednego kredytobiorcy w jednym banku. Obecność ekspertów kredytowych, którzy zredefiniowali swoją rolę w procesie kredytowym w ciągu minionych miesięcy, może być niezbędna dla sprawnego prowadzenia procesu kredytowego i starania się o satysfakcjonujące finansowanie”</w:t>
      </w:r>
      <w:r w:rsidR="001D0294" w:rsidRPr="001D0294">
        <w:rPr>
          <w:rFonts w:ascii="Calibri" w:eastAsia="Calibri" w:hAnsi="Calibri" w:cs="Calibri"/>
          <w:i/>
          <w:iCs/>
        </w:rPr>
        <w:t>.</w:t>
      </w:r>
    </w:p>
    <w:p w14:paraId="00000010" w14:textId="77777777" w:rsidR="00542607" w:rsidRDefault="00542607"/>
    <w:sectPr w:rsidR="0054260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B1A8B"/>
    <w:multiLevelType w:val="hybridMultilevel"/>
    <w:tmpl w:val="42F63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07"/>
    <w:rsid w:val="0000677C"/>
    <w:rsid w:val="001D0294"/>
    <w:rsid w:val="002C7E49"/>
    <w:rsid w:val="002F0D20"/>
    <w:rsid w:val="00325CF2"/>
    <w:rsid w:val="003D0645"/>
    <w:rsid w:val="003D5A6B"/>
    <w:rsid w:val="004423A7"/>
    <w:rsid w:val="00542607"/>
    <w:rsid w:val="00685EFA"/>
    <w:rsid w:val="00956054"/>
    <w:rsid w:val="009C17ED"/>
    <w:rsid w:val="00A47008"/>
    <w:rsid w:val="00AA451C"/>
    <w:rsid w:val="00DB476E"/>
    <w:rsid w:val="00DF78A7"/>
    <w:rsid w:val="00F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EEF5"/>
  <w15:docId w15:val="{A91216A6-B938-DA42-BFAE-A6EA040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C7E49"/>
    <w:pPr>
      <w:spacing w:line="240" w:lineRule="auto"/>
      <w:ind w:left="720"/>
    </w:pPr>
    <w:rPr>
      <w:rFonts w:ascii="Calibri" w:eastAsiaTheme="minorHAnsi" w:hAnsi="Calibri" w:cs="Calibri"/>
      <w:lang w:val="pl-PL" w:eastAsia="en-US" w:bidi="he-IL"/>
    </w:rPr>
  </w:style>
  <w:style w:type="table" w:styleId="Tabela-Siatka">
    <w:name w:val="Table Grid"/>
    <w:basedOn w:val="Standardowy"/>
    <w:uiPriority w:val="39"/>
    <w:rsid w:val="00325C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JBolek</dc:creator>
  <cp:lastModifiedBy>Anna Gajewska</cp:lastModifiedBy>
  <cp:revision>8</cp:revision>
  <dcterms:created xsi:type="dcterms:W3CDTF">2023-02-07T16:13:00Z</dcterms:created>
  <dcterms:modified xsi:type="dcterms:W3CDTF">2023-02-08T14:27:00Z</dcterms:modified>
</cp:coreProperties>
</file>